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2811B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C383A">
              <w:rPr>
                <w:b/>
                <w:sz w:val="28"/>
                <w:szCs w:val="28"/>
              </w:rPr>
              <w:t>Об утверждении Положения о закупках товаров, работ, услуг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Грайворонского муниципального округа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EC383A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C383A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6D" w:rsidRDefault="00FD246D">
      <w:r>
        <w:separator/>
      </w:r>
    </w:p>
  </w:endnote>
  <w:endnote w:type="continuationSeparator" w:id="0">
    <w:p w:rsidR="00FD246D" w:rsidRDefault="00FD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6D" w:rsidRDefault="00FD246D">
      <w:r>
        <w:separator/>
      </w:r>
    </w:p>
  </w:footnote>
  <w:footnote w:type="continuationSeparator" w:id="0">
    <w:p w:rsidR="00FD246D" w:rsidRDefault="00FD2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4F99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383A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D246D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226</cp:revision>
  <cp:lastPrinted>2024-12-16T07:48:00Z</cp:lastPrinted>
  <dcterms:created xsi:type="dcterms:W3CDTF">2021-02-20T08:37:00Z</dcterms:created>
  <dcterms:modified xsi:type="dcterms:W3CDTF">2024-12-16T07:48:00Z</dcterms:modified>
</cp:coreProperties>
</file>