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741680" w:rsidP="00040122">
            <w:pPr>
              <w:spacing w:before="10" w:after="10" w:line="216" w:lineRule="auto"/>
              <w:jc w:val="center"/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Грайворонского муниципального округа Белгородской области «Обеспечение доступным </w:t>
            </w:r>
            <w:r>
              <w:rPr>
                <w:b/>
                <w:sz w:val="28"/>
                <w:szCs w:val="28"/>
              </w:rPr>
              <w:br/>
              <w:t>и комфортным жильем жителей Грайворонского муниципального округа Белгородской области»</w:t>
            </w:r>
            <w:r w:rsidR="00040122" w:rsidRPr="00D97BF5">
              <w:t xml:space="preserve"> 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F3FE9">
              <w:rPr>
                <w:b/>
                <w:sz w:val="24"/>
                <w:szCs w:val="24"/>
              </w:rPr>
              <w:t>20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F3FE9">
              <w:rPr>
                <w:b/>
                <w:sz w:val="24"/>
                <w:szCs w:val="24"/>
              </w:rPr>
              <w:t>31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E0" w:rsidRDefault="00842CE0">
      <w:r>
        <w:separator/>
      </w:r>
    </w:p>
  </w:endnote>
  <w:endnote w:type="continuationSeparator" w:id="0">
    <w:p w:rsidR="00842CE0" w:rsidRDefault="0084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E0" w:rsidRDefault="00842CE0">
      <w:r>
        <w:separator/>
      </w:r>
    </w:p>
  </w:footnote>
  <w:footnote w:type="continuationSeparator" w:id="0">
    <w:p w:rsidR="00842CE0" w:rsidRDefault="00842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A7E97"/>
    <w:rsid w:val="005B6B04"/>
    <w:rsid w:val="005C723F"/>
    <w:rsid w:val="005D6E46"/>
    <w:rsid w:val="005D78F5"/>
    <w:rsid w:val="005F3302"/>
    <w:rsid w:val="005F3FE9"/>
    <w:rsid w:val="006101D1"/>
    <w:rsid w:val="0062039E"/>
    <w:rsid w:val="006267E1"/>
    <w:rsid w:val="00636365"/>
    <w:rsid w:val="0063777D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2CE0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058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214</cp:revision>
  <cp:lastPrinted>2025-01-14T06:26:00Z</cp:lastPrinted>
  <dcterms:created xsi:type="dcterms:W3CDTF">2022-03-15T06:22:00Z</dcterms:created>
  <dcterms:modified xsi:type="dcterms:W3CDTF">2025-01-20T07:11:00Z</dcterms:modified>
</cp:coreProperties>
</file>