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880C46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880C46">
              <w:rPr>
                <w:rStyle w:val="FontStyle47"/>
                <w:sz w:val="28"/>
                <w:szCs w:val="28"/>
              </w:rPr>
              <w:t>Об утверждении Порядка формирования перечня налоговых расходов Грайворонского муниципального округа и оценки налоговых расходов Грайворонского муниципального округа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9D" w:rsidRDefault="000B3A9D">
      <w:r>
        <w:separator/>
      </w:r>
    </w:p>
  </w:endnote>
  <w:endnote w:type="continuationSeparator" w:id="0">
    <w:p w:rsidR="000B3A9D" w:rsidRDefault="000B3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9D" w:rsidRDefault="000B3A9D">
      <w:r>
        <w:separator/>
      </w:r>
    </w:p>
  </w:footnote>
  <w:footnote w:type="continuationSeparator" w:id="0">
    <w:p w:rsidR="000B3A9D" w:rsidRDefault="000B3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3A9D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0C46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24C0A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2025-04-21T11:01:00Z</cp:lastPrinted>
  <dcterms:created xsi:type="dcterms:W3CDTF">2021-02-20T08:37:00Z</dcterms:created>
  <dcterms:modified xsi:type="dcterms:W3CDTF">2025-04-21T11:02:00Z</dcterms:modified>
</cp:coreProperties>
</file>