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2E35D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2E35DC">
              <w:rPr>
                <w:b/>
                <w:sz w:val="28"/>
              </w:rPr>
              <w:t>О внесении изменений в постановление администрации Грайворонского муниципального округа Белгородской области от 24 октября 2024 года № 548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5032A0">
              <w:rPr>
                <w:sz w:val="24"/>
                <w:szCs w:val="24"/>
              </w:rPr>
              <w:t>0</w:t>
            </w:r>
            <w:r w:rsidR="002E35DC">
              <w:rPr>
                <w:sz w:val="24"/>
                <w:szCs w:val="24"/>
              </w:rPr>
              <w:t>4</w:t>
            </w:r>
            <w:r w:rsidR="0039592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764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2E3DDD">
              <w:rPr>
                <w:sz w:val="24"/>
                <w:szCs w:val="24"/>
              </w:rPr>
              <w:t>1</w:t>
            </w:r>
            <w:r w:rsidR="002E35DC">
              <w:rPr>
                <w:sz w:val="24"/>
                <w:szCs w:val="24"/>
              </w:rPr>
              <w:t>9</w:t>
            </w:r>
            <w:r w:rsidR="0040053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94" w:rsidRDefault="00260D94">
      <w:r>
        <w:separator/>
      </w:r>
    </w:p>
  </w:endnote>
  <w:endnote w:type="continuationSeparator" w:id="0">
    <w:p w:rsidR="00260D94" w:rsidRDefault="0026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94" w:rsidRDefault="00260D94">
      <w:r>
        <w:separator/>
      </w:r>
    </w:p>
  </w:footnote>
  <w:footnote w:type="continuationSeparator" w:id="0">
    <w:p w:rsidR="00260D94" w:rsidRDefault="00260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60D94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5DC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6552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0CF3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032A0"/>
    <w:rsid w:val="005125EF"/>
    <w:rsid w:val="005134F5"/>
    <w:rsid w:val="00515663"/>
    <w:rsid w:val="00526862"/>
    <w:rsid w:val="005318F9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5F2333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1726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75CB5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00C"/>
    <w:rsid w:val="00F4127B"/>
    <w:rsid w:val="00F43F1E"/>
    <w:rsid w:val="00F54FE0"/>
    <w:rsid w:val="00F61808"/>
    <w:rsid w:val="00F648CB"/>
    <w:rsid w:val="00F7028A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281</cp:revision>
  <cp:lastPrinted>2025-06-04T11:28:00Z</cp:lastPrinted>
  <dcterms:created xsi:type="dcterms:W3CDTF">2021-02-20T08:37:00Z</dcterms:created>
  <dcterms:modified xsi:type="dcterms:W3CDTF">2025-06-04T11:28:00Z</dcterms:modified>
</cp:coreProperties>
</file>